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A5" w:rsidRPr="007A4A8C" w:rsidRDefault="00EC03A5" w:rsidP="007A4A8C">
      <w:pPr>
        <w:spacing w:after="0"/>
        <w:rPr>
          <w:b/>
        </w:rPr>
      </w:pPr>
      <w:bookmarkStart w:id="0" w:name="_GoBack"/>
      <w:bookmarkEnd w:id="0"/>
    </w:p>
    <w:p w:rsidR="009F6E48" w:rsidRPr="007A4A8C" w:rsidRDefault="009F6E48" w:rsidP="009F6E48">
      <w:pPr>
        <w:spacing w:after="0"/>
        <w:rPr>
          <w:b/>
        </w:rPr>
      </w:pPr>
    </w:p>
    <w:p w:rsidR="009F6E48" w:rsidRPr="009F6E48" w:rsidRDefault="009F6E48" w:rsidP="009F6E48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9F6E48">
        <w:rPr>
          <w:color w:val="000000" w:themeColor="text1"/>
        </w:rPr>
        <w:t>Working group name:</w:t>
      </w:r>
    </w:p>
    <w:p w:rsidR="009F6E48" w:rsidRPr="009F6E48" w:rsidRDefault="009F6E48" w:rsidP="009F6E48">
      <w:pPr>
        <w:spacing w:after="0"/>
        <w:rPr>
          <w:color w:val="000000" w:themeColor="text1"/>
        </w:rPr>
      </w:pPr>
    </w:p>
    <w:p w:rsidR="009F6E48" w:rsidRPr="0007295F" w:rsidRDefault="009F6E48" w:rsidP="009F6E48">
      <w:pPr>
        <w:pStyle w:val="ListParagraph"/>
        <w:spacing w:after="0"/>
        <w:jc w:val="both"/>
        <w:rPr>
          <w:i/>
          <w:color w:val="5B9BD5" w:themeColor="accent1"/>
        </w:rPr>
      </w:pPr>
      <w:r w:rsidRPr="0007295F">
        <w:rPr>
          <w:i/>
          <w:color w:val="5B9BD5" w:themeColor="accent1"/>
        </w:rPr>
        <w:t xml:space="preserve">Consumer Safety, Education and Health </w:t>
      </w:r>
    </w:p>
    <w:p w:rsidR="009F6E48" w:rsidRPr="009F6E48" w:rsidRDefault="009F6E48" w:rsidP="009F6E48">
      <w:pPr>
        <w:pStyle w:val="ListParagraph"/>
        <w:spacing w:after="0"/>
        <w:rPr>
          <w:color w:val="000000" w:themeColor="text1"/>
        </w:rPr>
      </w:pPr>
    </w:p>
    <w:p w:rsidR="009F6E48" w:rsidRPr="009F6E48" w:rsidRDefault="009F6E48" w:rsidP="009F6E48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9F6E48">
        <w:rPr>
          <w:color w:val="000000" w:themeColor="text1"/>
        </w:rPr>
        <w:t xml:space="preserve">Individual sponsor(s): </w:t>
      </w:r>
    </w:p>
    <w:p w:rsidR="009F6E48" w:rsidRPr="009F6E48" w:rsidRDefault="009F6E48" w:rsidP="009F6E48">
      <w:pPr>
        <w:spacing w:after="0"/>
        <w:ind w:left="720"/>
        <w:rPr>
          <w:color w:val="000000" w:themeColor="text1"/>
        </w:rPr>
      </w:pPr>
    </w:p>
    <w:p w:rsidR="009F6E48" w:rsidRPr="0007295F" w:rsidRDefault="009F6E48" w:rsidP="009F6E48">
      <w:pPr>
        <w:spacing w:after="0"/>
        <w:ind w:left="720"/>
        <w:jc w:val="both"/>
        <w:rPr>
          <w:i/>
          <w:color w:val="5B9BD5" w:themeColor="accent1"/>
        </w:rPr>
      </w:pPr>
      <w:r w:rsidRPr="0007295F">
        <w:rPr>
          <w:i/>
          <w:color w:val="5B9BD5" w:themeColor="accent1"/>
        </w:rPr>
        <w:t>Joe Hardy, Nevada Senate</w:t>
      </w:r>
    </w:p>
    <w:p w:rsidR="009F6E48" w:rsidRPr="0007295F" w:rsidRDefault="009F6E48" w:rsidP="009F6E48">
      <w:pPr>
        <w:spacing w:after="0"/>
        <w:ind w:left="720"/>
        <w:jc w:val="both"/>
        <w:rPr>
          <w:i/>
          <w:color w:val="5B9BD5" w:themeColor="accent1"/>
        </w:rPr>
      </w:pPr>
      <w:r w:rsidRPr="0007295F">
        <w:rPr>
          <w:i/>
          <w:color w:val="5B9BD5" w:themeColor="accent1"/>
        </w:rPr>
        <w:t>Joe Iser, Chief Health Officer, Southern Nevada Health District</w:t>
      </w:r>
    </w:p>
    <w:p w:rsidR="009F6E48" w:rsidRPr="0007295F" w:rsidRDefault="009F6E48" w:rsidP="009F6E48">
      <w:pPr>
        <w:ind w:firstLine="720"/>
        <w:jc w:val="both"/>
        <w:rPr>
          <w:i/>
          <w:color w:val="5B9BD5" w:themeColor="accent1"/>
        </w:rPr>
      </w:pPr>
      <w:r w:rsidRPr="0007295F">
        <w:rPr>
          <w:i/>
          <w:color w:val="5B9BD5" w:themeColor="accent1"/>
        </w:rPr>
        <w:t>Dr. John DiMuro, Chief Medical Officer, NV Dept. of Health and Human Services</w:t>
      </w:r>
    </w:p>
    <w:p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:rsidR="009F6E48" w:rsidRDefault="009F6E48" w:rsidP="009F6E48">
      <w:pPr>
        <w:spacing w:after="0"/>
      </w:pPr>
    </w:p>
    <w:p w:rsidR="009F6E48" w:rsidRPr="0007295F" w:rsidRDefault="009F6E48" w:rsidP="009F6E48">
      <w:pPr>
        <w:spacing w:after="0"/>
        <w:ind w:left="720"/>
        <w:rPr>
          <w:i/>
          <w:color w:val="5B9BD5" w:themeColor="accent1"/>
        </w:rPr>
      </w:pPr>
      <w:r w:rsidRPr="0007295F">
        <w:rPr>
          <w:i/>
          <w:color w:val="5B9BD5" w:themeColor="accent1"/>
        </w:rPr>
        <w:t>Marijuana smoke, along with vapors and other tobacco products, needs to be included in the Nevada Clean Indoor Air Act.</w:t>
      </w:r>
    </w:p>
    <w:p w:rsidR="00E9081E" w:rsidRPr="003110FB" w:rsidRDefault="00E9081E" w:rsidP="00E9081E">
      <w:pPr>
        <w:spacing w:after="0"/>
      </w:pPr>
    </w:p>
    <w:p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:rsidR="0007295F" w:rsidRDefault="0007295F" w:rsidP="0007295F">
      <w:pPr>
        <w:pStyle w:val="ListParagraph"/>
        <w:spacing w:after="0"/>
      </w:pPr>
    </w:p>
    <w:p w:rsidR="00171F10" w:rsidRPr="007F2D7D" w:rsidRDefault="00BA415C" w:rsidP="007F2D7D">
      <w:pPr>
        <w:spacing w:after="0"/>
        <w:ind w:left="720"/>
        <w:jc w:val="both"/>
        <w:rPr>
          <w:i/>
          <w:color w:val="5B9BD5" w:themeColor="accent1"/>
        </w:rPr>
      </w:pPr>
      <w:r w:rsidRPr="007F2D7D">
        <w:rPr>
          <w:i/>
          <w:color w:val="5B9BD5" w:themeColor="accent1"/>
        </w:rPr>
        <w:t xml:space="preserve">Guiding Principle </w:t>
      </w:r>
      <w:r w:rsidR="007F2D7D" w:rsidRPr="007F2D7D">
        <w:rPr>
          <w:i/>
          <w:color w:val="5B9BD5" w:themeColor="accent1"/>
        </w:rPr>
        <w:t xml:space="preserve">1 - </w:t>
      </w:r>
      <w:r w:rsidR="00171F10" w:rsidRPr="007F2D7D">
        <w:rPr>
          <w:i/>
          <w:color w:val="5B9BD5" w:themeColor="accent1"/>
        </w:rPr>
        <w:t>Promote the health, safety, and well-being of Nevada’s communities</w:t>
      </w:r>
    </w:p>
    <w:p w:rsidR="007F2D7D" w:rsidRDefault="007F2D7D" w:rsidP="007F2D7D">
      <w:pPr>
        <w:pStyle w:val="ListParagraph"/>
        <w:spacing w:after="0"/>
        <w:jc w:val="both"/>
        <w:rPr>
          <w:i/>
          <w:color w:val="5B9BD5" w:themeColor="accent1"/>
        </w:rPr>
      </w:pPr>
    </w:p>
    <w:p w:rsidR="00171F10" w:rsidRPr="007F2D7D" w:rsidRDefault="007F2D7D" w:rsidP="007F2D7D">
      <w:pPr>
        <w:pStyle w:val="ListParagraph"/>
        <w:spacing w:after="0"/>
        <w:jc w:val="both"/>
        <w:rPr>
          <w:i/>
          <w:color w:val="5B9BD5" w:themeColor="accent1"/>
        </w:rPr>
      </w:pPr>
      <w:r w:rsidRPr="007F2D7D">
        <w:rPr>
          <w:i/>
          <w:color w:val="5B9BD5" w:themeColor="accent1"/>
        </w:rPr>
        <w:t xml:space="preserve">Guiding Principle </w:t>
      </w:r>
      <w:r>
        <w:rPr>
          <w:i/>
          <w:color w:val="5B9BD5" w:themeColor="accent1"/>
        </w:rPr>
        <w:t xml:space="preserve">2 - </w:t>
      </w:r>
      <w:r w:rsidR="00171F10" w:rsidRPr="007F2D7D">
        <w:rPr>
          <w:i/>
          <w:color w:val="5B9BD5" w:themeColor="accent1"/>
        </w:rPr>
        <w:t>Be responsive to the needs and issues of consumers, non-consumers, local governments and the industry</w:t>
      </w:r>
    </w:p>
    <w:p w:rsidR="007F2D7D" w:rsidRDefault="007F2D7D" w:rsidP="007F2D7D">
      <w:pPr>
        <w:pStyle w:val="ListParagraph"/>
        <w:spacing w:after="0"/>
        <w:jc w:val="both"/>
        <w:rPr>
          <w:i/>
          <w:color w:val="5B9BD5" w:themeColor="accent1"/>
        </w:rPr>
      </w:pPr>
    </w:p>
    <w:p w:rsidR="00171F10" w:rsidRPr="007F2D7D" w:rsidRDefault="007F2D7D" w:rsidP="007F2D7D">
      <w:pPr>
        <w:pStyle w:val="ListParagraph"/>
        <w:spacing w:after="0"/>
        <w:jc w:val="both"/>
        <w:rPr>
          <w:i/>
          <w:color w:val="5B9BD5" w:themeColor="accent1"/>
        </w:rPr>
      </w:pPr>
      <w:r w:rsidRPr="007F2D7D">
        <w:rPr>
          <w:i/>
          <w:color w:val="5B9BD5" w:themeColor="accent1"/>
        </w:rPr>
        <w:t xml:space="preserve">Guiding Principle </w:t>
      </w:r>
      <w:r>
        <w:rPr>
          <w:i/>
          <w:color w:val="5B9BD5" w:themeColor="accent1"/>
        </w:rPr>
        <w:t xml:space="preserve">3 - </w:t>
      </w:r>
      <w:r w:rsidR="00171F10" w:rsidRPr="007F2D7D">
        <w:rPr>
          <w:i/>
          <w:color w:val="5B9BD5" w:themeColor="accent1"/>
        </w:rPr>
        <w:t>Ensure the youth are protected from the risks associated with marijuana, including preventing the diversion of marijuana to anyone under the age of 21</w:t>
      </w:r>
    </w:p>
    <w:p w:rsidR="007F2D7D" w:rsidRDefault="007F2D7D" w:rsidP="007F2D7D">
      <w:pPr>
        <w:pStyle w:val="ListParagraph"/>
        <w:spacing w:after="0"/>
        <w:jc w:val="both"/>
        <w:rPr>
          <w:i/>
          <w:color w:val="5B9BD5" w:themeColor="accent1"/>
        </w:rPr>
      </w:pPr>
    </w:p>
    <w:p w:rsidR="00171F10" w:rsidRPr="007F2D7D" w:rsidRDefault="007F2D7D" w:rsidP="007F2D7D">
      <w:pPr>
        <w:pStyle w:val="ListParagraph"/>
        <w:spacing w:after="0"/>
        <w:jc w:val="both"/>
        <w:rPr>
          <w:i/>
          <w:color w:val="5B9BD5" w:themeColor="accent1"/>
        </w:rPr>
      </w:pPr>
      <w:r w:rsidRPr="007F2D7D">
        <w:rPr>
          <w:i/>
          <w:color w:val="5B9BD5" w:themeColor="accent1"/>
        </w:rPr>
        <w:t xml:space="preserve">Guiding Principle </w:t>
      </w:r>
      <w:r>
        <w:rPr>
          <w:i/>
          <w:color w:val="5B9BD5" w:themeColor="accent1"/>
        </w:rPr>
        <w:t xml:space="preserve">4- </w:t>
      </w:r>
      <w:r w:rsidR="00171F10" w:rsidRPr="007F2D7D">
        <w:rPr>
          <w:i/>
          <w:color w:val="5B9BD5" w:themeColor="accent1"/>
        </w:rPr>
        <w:t>Propose efficient and effective regulation that is clear and reasonable and not unduly burdensome</w:t>
      </w:r>
    </w:p>
    <w:p w:rsidR="007F2D7D" w:rsidRDefault="007F2D7D" w:rsidP="007F2D7D">
      <w:pPr>
        <w:pStyle w:val="ListParagraph"/>
        <w:spacing w:after="0"/>
        <w:jc w:val="both"/>
        <w:rPr>
          <w:i/>
          <w:color w:val="5B9BD5" w:themeColor="accent1"/>
        </w:rPr>
      </w:pPr>
    </w:p>
    <w:p w:rsidR="00171F10" w:rsidRPr="007F2D7D" w:rsidRDefault="007F2D7D" w:rsidP="007F2D7D">
      <w:pPr>
        <w:pStyle w:val="ListParagraph"/>
        <w:spacing w:after="0"/>
        <w:jc w:val="both"/>
        <w:rPr>
          <w:i/>
          <w:color w:val="5B9BD5" w:themeColor="accent1"/>
        </w:rPr>
      </w:pPr>
      <w:r w:rsidRPr="007F2D7D">
        <w:rPr>
          <w:i/>
          <w:color w:val="5B9BD5" w:themeColor="accent1"/>
        </w:rPr>
        <w:t xml:space="preserve">Guiding Principle </w:t>
      </w:r>
      <w:r>
        <w:rPr>
          <w:i/>
          <w:color w:val="5B9BD5" w:themeColor="accent1"/>
        </w:rPr>
        <w:t xml:space="preserve">6 - </w:t>
      </w:r>
      <w:r w:rsidR="00171F10" w:rsidRPr="007F2D7D">
        <w:rPr>
          <w:i/>
          <w:color w:val="5B9BD5" w:themeColor="accent1"/>
        </w:rPr>
        <w:t>Establish regulations that are clear and practical, so that interactions between law enforcement (at the local, state and federal levels), consumers, and licensees are predictable and understandable</w:t>
      </w:r>
    </w:p>
    <w:p w:rsidR="00E9081E" w:rsidRPr="003110FB" w:rsidRDefault="00E9081E" w:rsidP="00E9081E">
      <w:pPr>
        <w:spacing w:after="0"/>
      </w:pPr>
    </w:p>
    <w:p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:rsidR="0007295F" w:rsidRDefault="0007295F" w:rsidP="0007295F">
      <w:pPr>
        <w:pStyle w:val="ListParagraph"/>
        <w:spacing w:after="0"/>
      </w:pPr>
    </w:p>
    <w:p w:rsidR="00E9081E" w:rsidRPr="0007295F" w:rsidRDefault="00171F10" w:rsidP="006554FA">
      <w:pPr>
        <w:spacing w:after="0"/>
        <w:ind w:left="720"/>
        <w:rPr>
          <w:i/>
          <w:color w:val="5B9BD5" w:themeColor="accent1"/>
        </w:rPr>
      </w:pPr>
      <w:r w:rsidRPr="0007295F">
        <w:rPr>
          <w:i/>
          <w:color w:val="5B9BD5" w:themeColor="accent1"/>
        </w:rPr>
        <w:t>Section 5.  Powe</w:t>
      </w:r>
      <w:r w:rsidR="006554FA" w:rsidRPr="0007295F">
        <w:rPr>
          <w:i/>
          <w:color w:val="5B9BD5" w:themeColor="accent1"/>
        </w:rPr>
        <w:t>rs and duties of the Department.</w:t>
      </w:r>
    </w:p>
    <w:p w:rsidR="00E9081E" w:rsidRPr="003110FB" w:rsidRDefault="00E9081E" w:rsidP="00E9081E">
      <w:pPr>
        <w:pStyle w:val="ListParagraph"/>
        <w:spacing w:after="0"/>
      </w:pPr>
    </w:p>
    <w:p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:rsidR="0007295F" w:rsidRDefault="0007295F" w:rsidP="0007295F">
      <w:pPr>
        <w:pStyle w:val="ListParagraph"/>
        <w:spacing w:after="0"/>
      </w:pPr>
    </w:p>
    <w:p w:rsidR="001B0ADC" w:rsidRPr="0007295F" w:rsidRDefault="006554FA" w:rsidP="006554FA">
      <w:pPr>
        <w:spacing w:after="0"/>
        <w:ind w:left="720"/>
        <w:rPr>
          <w:i/>
          <w:color w:val="5B9BD5" w:themeColor="accent1"/>
        </w:rPr>
      </w:pPr>
      <w:r w:rsidRPr="0007295F">
        <w:rPr>
          <w:i/>
          <w:color w:val="5B9BD5" w:themeColor="accent1"/>
        </w:rPr>
        <w:t>A safer and healthier indoor air in businesses and public areas.</w:t>
      </w:r>
    </w:p>
    <w:p w:rsidR="001B0ADC" w:rsidRDefault="001B0ADC" w:rsidP="001B0ADC">
      <w:pPr>
        <w:spacing w:after="0"/>
      </w:pPr>
    </w:p>
    <w:p w:rsidR="007F2D7D" w:rsidRDefault="007F2D7D" w:rsidP="001B0ADC">
      <w:pPr>
        <w:spacing w:after="0"/>
      </w:pPr>
    </w:p>
    <w:p w:rsidR="007F2D7D" w:rsidRPr="003110FB" w:rsidRDefault="007F2D7D" w:rsidP="001B0ADC">
      <w:pPr>
        <w:spacing w:after="0"/>
      </w:pPr>
    </w:p>
    <w:p w:rsidR="001B0ADC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lastRenderedPageBreak/>
        <w:t>Was there dissent in the group regarding this recommendation?  If yes, please provide a summary of the dissenting opinion regarding the recommendation.</w:t>
      </w:r>
    </w:p>
    <w:p w:rsidR="0007295F" w:rsidRDefault="0007295F" w:rsidP="002D4A0A">
      <w:pPr>
        <w:spacing w:after="0"/>
        <w:ind w:left="720"/>
        <w:rPr>
          <w:i/>
          <w:color w:val="5B9BD5" w:themeColor="accent1"/>
        </w:rPr>
      </w:pPr>
    </w:p>
    <w:p w:rsidR="00E9081E" w:rsidRPr="007F2D7D" w:rsidRDefault="002D4A0A" w:rsidP="007F2D7D">
      <w:pPr>
        <w:spacing w:after="0"/>
        <w:ind w:left="720"/>
        <w:rPr>
          <w:i/>
          <w:color w:val="5B9BD5" w:themeColor="accent1"/>
        </w:rPr>
      </w:pPr>
      <w:r w:rsidRPr="0007295F">
        <w:rPr>
          <w:i/>
          <w:color w:val="5B9BD5" w:themeColor="accent1"/>
        </w:rPr>
        <w:t>No.</w:t>
      </w:r>
    </w:p>
    <w:p w:rsidR="00E9081E" w:rsidRPr="003110FB" w:rsidRDefault="00E9081E" w:rsidP="00E9081E">
      <w:pPr>
        <w:spacing w:after="0"/>
      </w:pPr>
    </w:p>
    <w:p w:rsidR="00E9081E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:rsidR="0007295F" w:rsidRDefault="0007295F" w:rsidP="002D4A0A">
      <w:pPr>
        <w:pStyle w:val="ListParagraph"/>
        <w:spacing w:after="0"/>
      </w:pPr>
    </w:p>
    <w:p w:rsidR="002D4A0A" w:rsidRPr="0007295F" w:rsidRDefault="002D4A0A" w:rsidP="002D4A0A">
      <w:pPr>
        <w:pStyle w:val="ListParagraph"/>
        <w:spacing w:after="0"/>
        <w:rPr>
          <w:i/>
          <w:color w:val="5B9BD5" w:themeColor="accent1"/>
        </w:rPr>
      </w:pPr>
      <w:r w:rsidRPr="0007295F">
        <w:rPr>
          <w:i/>
          <w:color w:val="5B9BD5" w:themeColor="accent1"/>
        </w:rPr>
        <w:t>Open the NCIAA and add in these provisions.</w:t>
      </w:r>
    </w:p>
    <w:p w:rsidR="00E9081E" w:rsidRDefault="00E9081E" w:rsidP="00E9081E">
      <w:pPr>
        <w:pStyle w:val="ListParagraph"/>
        <w:spacing w:after="0"/>
      </w:pPr>
    </w:p>
    <w:p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</w:p>
    <w:p w:rsidR="0007295F" w:rsidRDefault="0007295F" w:rsidP="0007295F">
      <w:pPr>
        <w:pStyle w:val="ListParagraph"/>
        <w:spacing w:after="0"/>
      </w:pPr>
    </w:p>
    <w:p w:rsidR="002D4A0A" w:rsidRPr="0007295F" w:rsidRDefault="002D4A0A" w:rsidP="002D4A0A">
      <w:pPr>
        <w:spacing w:after="0"/>
        <w:ind w:left="720"/>
        <w:rPr>
          <w:i/>
          <w:color w:val="5B9BD5" w:themeColor="accent1"/>
        </w:rPr>
      </w:pPr>
      <w:r w:rsidRPr="0007295F">
        <w:rPr>
          <w:i/>
          <w:color w:val="5B9BD5" w:themeColor="accent1"/>
        </w:rPr>
        <w:t>Unsure, but likely nothing.</w:t>
      </w:r>
    </w:p>
    <w:p w:rsidR="00753FA6" w:rsidRDefault="00753FA6" w:rsidP="007A4A8C">
      <w:pPr>
        <w:spacing w:after="0"/>
      </w:pPr>
    </w:p>
    <w:p w:rsidR="00CC30A8" w:rsidRPr="003110FB" w:rsidRDefault="00CC30A8" w:rsidP="007A4A8C">
      <w:pPr>
        <w:spacing w:after="0"/>
      </w:pPr>
    </w:p>
    <w:p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 w:rsidSect="00424A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41" w:rsidRDefault="008C6941" w:rsidP="00391997">
      <w:pPr>
        <w:spacing w:after="0" w:line="240" w:lineRule="auto"/>
      </w:pPr>
      <w:r>
        <w:separator/>
      </w:r>
    </w:p>
  </w:endnote>
  <w:endnote w:type="continuationSeparator" w:id="0">
    <w:p w:rsidR="008C6941" w:rsidRDefault="008C6941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22" w:rsidRPr="00F43822" w:rsidRDefault="0007295F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-36831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249B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>
      <w:rPr>
        <w:rFonts w:ascii="Calibri" w:eastAsia="Times New Roman" w:hAnsi="Calibri" w:cs="Times New Roman"/>
        <w:b/>
        <w:i/>
        <w:color w:val="3737A5"/>
        <w:sz w:val="16"/>
        <w:szCs w:val="16"/>
      </w:rPr>
      <w:t>Clean Air Act v.2 - Recommendation</w:t>
    </w:r>
    <w:r w:rsidR="00F43822"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43822"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April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28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41" w:rsidRDefault="008C6941" w:rsidP="00391997">
      <w:pPr>
        <w:spacing w:after="0" w:line="240" w:lineRule="auto"/>
      </w:pPr>
      <w:r>
        <w:separator/>
      </w:r>
    </w:p>
  </w:footnote>
  <w:footnote w:type="continuationSeparator" w:id="0">
    <w:p w:rsidR="008C6941" w:rsidRDefault="008C6941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48" w:rsidRPr="00F43822" w:rsidRDefault="0007295F" w:rsidP="009F6E48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Clean Air Act</w:t>
    </w:r>
    <w:r w:rsidR="009F6E48">
      <w:rPr>
        <w:sz w:val="22"/>
        <w:szCs w:val="22"/>
      </w:rPr>
      <w:t xml:space="preserve"> </w:t>
    </w:r>
    <w:r w:rsidR="00FC5D27">
      <w:rPr>
        <w:sz w:val="22"/>
        <w:szCs w:val="22"/>
      </w:rPr>
      <w:t>–</w:t>
    </w:r>
    <w:r w:rsidR="009F6E48">
      <w:rPr>
        <w:sz w:val="22"/>
        <w:szCs w:val="22"/>
      </w:rPr>
      <w:t xml:space="preserve"> Recommendation</w:t>
    </w:r>
    <w:r w:rsidR="006554FA">
      <w:rPr>
        <w:sz w:val="22"/>
        <w:szCs w:val="22"/>
      </w:rPr>
      <w:t xml:space="preserve"> </w:t>
    </w:r>
  </w:p>
  <w:p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60468"/>
    <w:rsid w:val="0007295F"/>
    <w:rsid w:val="000A61D0"/>
    <w:rsid w:val="000B01A4"/>
    <w:rsid w:val="00114EF2"/>
    <w:rsid w:val="00141A16"/>
    <w:rsid w:val="00147D5D"/>
    <w:rsid w:val="00171F10"/>
    <w:rsid w:val="001866F9"/>
    <w:rsid w:val="001B0ADC"/>
    <w:rsid w:val="001B10FF"/>
    <w:rsid w:val="00202189"/>
    <w:rsid w:val="00202E4C"/>
    <w:rsid w:val="0023729A"/>
    <w:rsid w:val="002D4A0A"/>
    <w:rsid w:val="003110FB"/>
    <w:rsid w:val="00391997"/>
    <w:rsid w:val="004039AB"/>
    <w:rsid w:val="00424ACF"/>
    <w:rsid w:val="00435662"/>
    <w:rsid w:val="00442A3F"/>
    <w:rsid w:val="00565923"/>
    <w:rsid w:val="005E102D"/>
    <w:rsid w:val="006554FA"/>
    <w:rsid w:val="006B0A7E"/>
    <w:rsid w:val="006D4662"/>
    <w:rsid w:val="00700DCA"/>
    <w:rsid w:val="00753FA6"/>
    <w:rsid w:val="007746E2"/>
    <w:rsid w:val="00774894"/>
    <w:rsid w:val="007765FD"/>
    <w:rsid w:val="007A4A8C"/>
    <w:rsid w:val="007F2D7D"/>
    <w:rsid w:val="008313F9"/>
    <w:rsid w:val="00882EE9"/>
    <w:rsid w:val="00887531"/>
    <w:rsid w:val="008C6941"/>
    <w:rsid w:val="008D5094"/>
    <w:rsid w:val="008F0634"/>
    <w:rsid w:val="009201F4"/>
    <w:rsid w:val="009264B2"/>
    <w:rsid w:val="00957E83"/>
    <w:rsid w:val="00961D8A"/>
    <w:rsid w:val="009805E6"/>
    <w:rsid w:val="00996A51"/>
    <w:rsid w:val="009D1938"/>
    <w:rsid w:val="009F65F5"/>
    <w:rsid w:val="009F6E48"/>
    <w:rsid w:val="00A312E6"/>
    <w:rsid w:val="00A65F54"/>
    <w:rsid w:val="00A85545"/>
    <w:rsid w:val="00AB71F7"/>
    <w:rsid w:val="00B11C15"/>
    <w:rsid w:val="00B70E4E"/>
    <w:rsid w:val="00BA415C"/>
    <w:rsid w:val="00BC0B03"/>
    <w:rsid w:val="00BC0F10"/>
    <w:rsid w:val="00BF6BBC"/>
    <w:rsid w:val="00CC30A8"/>
    <w:rsid w:val="00CF7FDD"/>
    <w:rsid w:val="00D22E65"/>
    <w:rsid w:val="00D926ED"/>
    <w:rsid w:val="00DA287B"/>
    <w:rsid w:val="00DC4C91"/>
    <w:rsid w:val="00DD1A10"/>
    <w:rsid w:val="00DE0ABD"/>
    <w:rsid w:val="00E9081E"/>
    <w:rsid w:val="00E96CEA"/>
    <w:rsid w:val="00EC03A5"/>
    <w:rsid w:val="00EE7989"/>
    <w:rsid w:val="00F046BC"/>
    <w:rsid w:val="00F27CF2"/>
    <w:rsid w:val="00F43822"/>
    <w:rsid w:val="00FC1FA5"/>
    <w:rsid w:val="00F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0A7DDE-E5A1-40C0-8977-DE9D94AC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8F9C-327F-4197-82B9-753C0B61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3</cp:revision>
  <cp:lastPrinted>2017-03-01T23:42:00Z</cp:lastPrinted>
  <dcterms:created xsi:type="dcterms:W3CDTF">2017-04-12T23:52:00Z</dcterms:created>
  <dcterms:modified xsi:type="dcterms:W3CDTF">2017-04-12T23:58:00Z</dcterms:modified>
</cp:coreProperties>
</file>